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Aruanne toote kohta: HQD Golden – Tubakas</w:t>
      </w:r>
    </w:p>
    <w:p>
      <w:pPr>
        <w:pStyle w:val="Heading2"/>
      </w:pPr>
      <w:r>
        <w:t>1. Müügimahud kaubamärgi ja toote tüübi järgi</w:t>
      </w:r>
    </w:p>
    <w:tbl>
      <w:tblPr>
        <w:tblStyle w:val="TableGrid"/>
        <w:tblW w:type="auto" w:w="0"/>
        <w:tblLook w:firstColumn="1" w:firstRow="1" w:lastColumn="0" w:lastRow="0" w:noHBand="0" w:noVBand="1" w:val="04A0"/>
      </w:tblPr>
      <w:tblGrid>
        <w:gridCol w:w="2160"/>
        <w:gridCol w:w="2160"/>
        <w:gridCol w:w="2160"/>
        <w:gridCol w:w="2160"/>
      </w:tblGrid>
      <w:tr>
        <w:tc>
          <w:tcPr>
            <w:tcW w:type="dxa" w:w="2160"/>
          </w:tcPr>
          <w:p>
            <w:r>
              <w:t>Kaubamärk / Toode</w:t>
            </w:r>
          </w:p>
        </w:tc>
        <w:tc>
          <w:tcPr>
            <w:tcW w:type="dxa" w:w="2160"/>
          </w:tcPr>
          <w:p>
            <w:r>
              <w:t>Ribakood</w:t>
            </w:r>
          </w:p>
        </w:tc>
        <w:tc>
          <w:tcPr>
            <w:tcW w:type="dxa" w:w="2160"/>
          </w:tcPr>
          <w:p>
            <w:r>
              <w:t>Müüdud ühikute arv</w:t>
            </w:r>
          </w:p>
        </w:tc>
        <w:tc>
          <w:tcPr>
            <w:tcW w:type="dxa" w:w="2160"/>
          </w:tcPr>
          <w:p>
            <w:r>
              <w:t>Tootekood (ID)</w:t>
            </w:r>
          </w:p>
        </w:tc>
      </w:tr>
      <w:tr>
        <w:tc>
          <w:tcPr>
            <w:tcW w:type="dxa" w:w="2160"/>
          </w:tcPr>
          <w:p>
            <w:r>
              <w:t>HQD Golden – Tubakas</w:t>
            </w:r>
          </w:p>
        </w:tc>
        <w:tc>
          <w:tcPr>
            <w:tcW w:type="dxa" w:w="2160"/>
          </w:tcPr>
          <w:p>
            <w:r>
              <w:t>6974866042907</w:t>
            </w:r>
          </w:p>
        </w:tc>
        <w:tc>
          <w:tcPr>
            <w:tcW w:type="dxa" w:w="2160"/>
          </w:tcPr>
          <w:p>
            <w:r>
              <w:t>4 128 tk</w:t>
            </w:r>
          </w:p>
        </w:tc>
        <w:tc>
          <w:tcPr>
            <w:tcW w:type="dxa" w:w="2160"/>
          </w:tcPr>
          <w:p>
            <w:r>
              <w:t>03507-21-00081</w:t>
            </w:r>
          </w:p>
        </w:tc>
      </w:tr>
    </w:tbl>
    <w:p>
      <w:pPr>
        <w:pStyle w:val="Heading2"/>
      </w:pPr>
      <w:r>
        <w:t>2. Teave erinevate tarbijarühmade eelistuste kohta</w:t>
      </w:r>
    </w:p>
    <w:tbl>
      <w:tblPr>
        <w:tblStyle w:val="TableGrid"/>
        <w:tblW w:type="auto" w:w="0"/>
        <w:tblLook w:firstColumn="1" w:firstRow="1" w:lastColumn="0" w:lastRow="0" w:noHBand="0" w:noVBand="1" w:val="04A0"/>
      </w:tblPr>
      <w:tblGrid>
        <w:gridCol w:w="2160"/>
        <w:gridCol w:w="2160"/>
        <w:gridCol w:w="2160"/>
        <w:gridCol w:w="2160"/>
      </w:tblGrid>
      <w:tr>
        <w:tc>
          <w:tcPr>
            <w:tcW w:type="dxa" w:w="2160"/>
          </w:tcPr>
          <w:p>
            <w:r>
              <w:t>Tarbijarühm</w:t>
            </w:r>
          </w:p>
        </w:tc>
        <w:tc>
          <w:tcPr>
            <w:tcW w:type="dxa" w:w="2160"/>
          </w:tcPr>
          <w:p>
            <w:r>
              <w:t>Eelistused ja käitumine</w:t>
            </w:r>
          </w:p>
        </w:tc>
        <w:tc>
          <w:tcPr>
            <w:tcW w:type="dxa" w:w="2160"/>
          </w:tcPr>
          <w:p>
            <w:r>
              <w:t>Valiku põhjused</w:t>
            </w:r>
          </w:p>
        </w:tc>
        <w:tc>
          <w:tcPr>
            <w:tcW w:type="dxa" w:w="2160"/>
          </w:tcPr>
          <w:p>
            <w:r>
              <w:t>Kasutussagedus</w:t>
            </w:r>
          </w:p>
        </w:tc>
      </w:tr>
      <w:tr>
        <w:tc>
          <w:tcPr>
            <w:tcW w:type="dxa" w:w="2160"/>
          </w:tcPr>
          <w:p>
            <w:r>
              <w:t>Noored (18–25 a)</w:t>
            </w:r>
          </w:p>
        </w:tc>
        <w:tc>
          <w:tcPr>
            <w:tcW w:type="dxa" w:w="2160"/>
          </w:tcPr>
          <w:p>
            <w:r>
              <w:t>Ei eelista, peetakse liiga klassikaliseks ja tugeva järelmaitsega.</w:t>
            </w:r>
          </w:p>
        </w:tc>
        <w:tc>
          <w:tcPr>
            <w:tcW w:type="dxa" w:w="2160"/>
          </w:tcPr>
          <w:p>
            <w:r>
              <w:t>Eelistavad magusamaid ja värskemaid maitseid</w:t>
            </w:r>
          </w:p>
        </w:tc>
        <w:tc>
          <w:tcPr>
            <w:tcW w:type="dxa" w:w="2160"/>
          </w:tcPr>
          <w:p>
            <w:r>
              <w:t>Väga harv või puudub</w:t>
            </w:r>
          </w:p>
        </w:tc>
      </w:tr>
      <w:tr>
        <w:tc>
          <w:tcPr>
            <w:tcW w:type="dxa" w:w="2160"/>
          </w:tcPr>
          <w:p>
            <w:r>
              <w:t>Mittesuitsetajad / algajad</w:t>
            </w:r>
          </w:p>
        </w:tc>
        <w:tc>
          <w:tcPr>
            <w:tcW w:type="dxa" w:w="2160"/>
          </w:tcPr>
          <w:p>
            <w:r>
              <w:t>Väldivad tubakamaitseid, eriti tugeva profiiliga tooteid</w:t>
            </w:r>
          </w:p>
        </w:tc>
        <w:tc>
          <w:tcPr>
            <w:tcW w:type="dxa" w:w="2160"/>
          </w:tcPr>
          <w:p>
            <w:r>
              <w:t>Intensiivne maitse ei sobi tundlikumale maitsemeelele</w:t>
            </w:r>
          </w:p>
        </w:tc>
        <w:tc>
          <w:tcPr>
            <w:tcW w:type="dxa" w:w="2160"/>
          </w:tcPr>
          <w:p>
            <w:r>
              <w:t>Praktiliselt ei kasutata</w:t>
            </w:r>
          </w:p>
        </w:tc>
      </w:tr>
      <w:tr>
        <w:tc>
          <w:tcPr>
            <w:tcW w:type="dxa" w:w="2160"/>
          </w:tcPr>
          <w:p>
            <w:r>
              <w:t>Püsitarbijad (veipijad)</w:t>
            </w:r>
          </w:p>
        </w:tc>
        <w:tc>
          <w:tcPr>
            <w:tcW w:type="dxa" w:w="2160"/>
          </w:tcPr>
          <w:p>
            <w:r>
              <w:t>Eelistavad regulaarselt, eriti endised suitsetajad</w:t>
            </w:r>
          </w:p>
        </w:tc>
        <w:tc>
          <w:tcPr>
            <w:tcW w:type="dxa" w:w="2160"/>
          </w:tcPr>
          <w:p>
            <w:r>
              <w:t>Sarnasus klassikalise sigareti maitsega, tugevus ja nikotiinimõju</w:t>
            </w:r>
          </w:p>
        </w:tc>
        <w:tc>
          <w:tcPr>
            <w:tcW w:type="dxa" w:w="2160"/>
          </w:tcPr>
          <w:p>
            <w:r>
              <w:t>Igapäevaselt või mitu korda päevas</w:t>
            </w:r>
          </w:p>
        </w:tc>
      </w:tr>
    </w:tbl>
    <w:p>
      <w:pPr>
        <w:pStyle w:val="Heading2"/>
      </w:pPr>
      <w:r>
        <w:t>3. Müügikanalid</w:t>
      </w:r>
    </w:p>
    <w:p>
      <w:r>
        <w:t>• Jaemüük: spetsialiseeritud vape-kauplustes täiskasvanutele</w:t>
        <w:br/>
        <w:t>• Hulgimüük: läbi volitatud turustajate ja edasimüüjate</w:t>
      </w:r>
    </w:p>
    <w:p>
      <w:pPr>
        <w:pStyle w:val="Heading2"/>
      </w:pPr>
      <w:r>
        <w:t>4. Turu-uuring: HQD Tubaka maitse tajumine</w:t>
      </w:r>
    </w:p>
    <w:p>
      <w:r>
        <w:t>Eesmärk:</w:t>
        <w:br/>
        <w:t>Kaardistada HQD Golden Tubaka maitse atraktiivsus sihtrühmade seas ja selle konkurentsivõime Euroopa turul.</w:t>
        <w:br/>
      </w:r>
    </w:p>
    <w:p>
      <w:r>
        <w:t>Metoodika:</w:t>
        <w:br/>
        <w:t>2023. aastal viidi läbi müügiandmete analüüs ning tagasisideküsitlused Eestis, Saksamaal, Poolas ja Lätis.</w:t>
        <w:br/>
      </w:r>
    </w:p>
    <w:p>
      <w:r>
        <w:t>Peamised järeldused:</w:t>
      </w:r>
    </w:p>
    <w:p>
      <w:r>
        <w:t>- HQD Tubakas meeldib eelkõige suitsetamise lõpetanud täiskasvanutele.</w:t>
      </w:r>
    </w:p>
    <w:p>
      <w:r>
        <w:t>- Maitse sobib neile, kes otsivad asendust klassikalisele sigaretile.</w:t>
      </w:r>
    </w:p>
    <w:p>
      <w:r>
        <w:t>- Kõrge korduvkasutuse määr, eriti meeste seas vanuses 30–50.</w:t>
      </w:r>
    </w:p>
    <w:p>
      <w:r>
        <w:t>- Madal huvi noorte ja mitteveipijate seas.</w:t>
      </w:r>
    </w:p>
    <w:p>
      <w:pPr>
        <w:pStyle w:val="Heading2"/>
      </w:pPr>
      <w:r>
        <w:t>5. Kokkuvõte</w:t>
      </w:r>
    </w:p>
    <w:p>
      <w:r>
        <w:t>HQD Golden – Tubakas on sihitud tubakatarbijatele, kes eelistavad traditsioonilist ja tugevat maitset. See ei sobi algajatele ega mittesuitsetajatele, kuid püsiklientide seas on see stabiilselt populaarne. Tootel on tugev positsioon reguleeritud turgudel, kus hinnatakse ehtsat tubakamaitset ning vastavust Euroopa ohutusstandarditele (TPD).</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